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7F" w:rsidRDefault="0053487F" w:rsidP="0053487F">
      <w:r>
        <w:t>The Georgia Public Service Commission (GPSC) is pleased to announce the applicants selected in the Georgia Pow</w:t>
      </w:r>
      <w:r>
        <w:t>er Advanced Solar Initiative (</w:t>
      </w:r>
      <w:r>
        <w:t>ASI) Rol</w:t>
      </w:r>
      <w:r>
        <w:t>lover Lottery for small- and medium</w:t>
      </w:r>
      <w:r>
        <w:t>-sc</w:t>
      </w:r>
      <w:r>
        <w:t>ale solar installations.</w:t>
      </w:r>
    </w:p>
    <w:p w:rsidR="0053487F" w:rsidRDefault="0053487F" w:rsidP="0053487F">
      <w:r>
        <w:t xml:space="preserve">The Rollover Lottery is being used to fill </w:t>
      </w:r>
      <w:r w:rsidR="001C663A">
        <w:t xml:space="preserve">12MW of </w:t>
      </w:r>
      <w:r>
        <w:t>solar resource opportunities that were not</w:t>
      </w:r>
      <w:r>
        <w:t xml:space="preserve"> fully subscribed in the 2013 Georgia Power </w:t>
      </w:r>
      <w:r>
        <w:t xml:space="preserve">ASI Lottery. </w:t>
      </w:r>
      <w:r w:rsidR="003C3D01">
        <w:t xml:space="preserve"> </w:t>
      </w:r>
      <w:r>
        <w:t>The process and initiative, as approved by the GPSC, will continue bringing a rapid expansion of affordable solar energy to Georgia, and provides businesses and homeowners the certainty of a long-term purchase contract for</w:t>
      </w:r>
      <w:r>
        <w:t xml:space="preserve"> the solar energy they produce.</w:t>
      </w:r>
    </w:p>
    <w:p w:rsidR="0053487F" w:rsidRDefault="0053487F">
      <w:r>
        <w:t xml:space="preserve">ASI is part of Georgia Power’s continued commitment to a diverse generation portfolio, including cost-effective renewable sources such as solar, wind and biomass. </w:t>
      </w:r>
      <w:r w:rsidR="003C3D01">
        <w:t xml:space="preserve"> </w:t>
      </w:r>
      <w:r>
        <w:t>By 2016, Georgia Power will have a solar portfolio of nearly 800 megawatts - the largest voluntary solar portfolio in the nation.</w:t>
      </w:r>
    </w:p>
    <w:p w:rsidR="00937954" w:rsidRDefault="00937954">
      <w:r>
        <w:t>Small Scale Customer Sited Projects (Projects less than 100kW)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3C3D01" w:rsidTr="00937954">
        <w:tc>
          <w:tcPr>
            <w:tcW w:w="1596" w:type="dxa"/>
            <w:vAlign w:val="bottom"/>
          </w:tcPr>
          <w:p w:rsidR="003C3D01" w:rsidRDefault="003C3D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GPC-10133</w:t>
            </w:r>
          </w:p>
        </w:tc>
        <w:tc>
          <w:tcPr>
            <w:tcW w:w="1596" w:type="dxa"/>
            <w:vAlign w:val="bottom"/>
          </w:tcPr>
          <w:p w:rsidR="003C3D01" w:rsidRDefault="003C3D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GPC-10252</w:t>
            </w:r>
          </w:p>
        </w:tc>
        <w:tc>
          <w:tcPr>
            <w:tcW w:w="1596" w:type="dxa"/>
            <w:vAlign w:val="bottom"/>
          </w:tcPr>
          <w:p w:rsidR="003C3D01" w:rsidRDefault="003C3D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GPC-10536</w:t>
            </w:r>
          </w:p>
        </w:tc>
        <w:tc>
          <w:tcPr>
            <w:tcW w:w="1596" w:type="dxa"/>
            <w:vAlign w:val="bottom"/>
          </w:tcPr>
          <w:p w:rsidR="003C3D01" w:rsidRDefault="003C3D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GPC-10694</w:t>
            </w:r>
          </w:p>
        </w:tc>
        <w:tc>
          <w:tcPr>
            <w:tcW w:w="1596" w:type="dxa"/>
            <w:vAlign w:val="bottom"/>
          </w:tcPr>
          <w:p w:rsidR="003C3D01" w:rsidRDefault="003C3D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GPC-10780</w:t>
            </w:r>
          </w:p>
        </w:tc>
        <w:tc>
          <w:tcPr>
            <w:tcW w:w="1596" w:type="dxa"/>
            <w:vAlign w:val="bottom"/>
          </w:tcPr>
          <w:p w:rsidR="003C3D01" w:rsidRDefault="003C3D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GPC-10891</w:t>
            </w:r>
          </w:p>
        </w:tc>
      </w:tr>
      <w:tr w:rsidR="003C3D01" w:rsidTr="00937954">
        <w:tc>
          <w:tcPr>
            <w:tcW w:w="1596" w:type="dxa"/>
            <w:vAlign w:val="bottom"/>
          </w:tcPr>
          <w:p w:rsidR="003C3D01" w:rsidRDefault="003C3D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GPC-10138</w:t>
            </w:r>
          </w:p>
        </w:tc>
        <w:tc>
          <w:tcPr>
            <w:tcW w:w="1596" w:type="dxa"/>
            <w:vAlign w:val="bottom"/>
          </w:tcPr>
          <w:p w:rsidR="003C3D01" w:rsidRDefault="003C3D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GPC-10276</w:t>
            </w:r>
          </w:p>
        </w:tc>
        <w:tc>
          <w:tcPr>
            <w:tcW w:w="1596" w:type="dxa"/>
            <w:vAlign w:val="bottom"/>
          </w:tcPr>
          <w:p w:rsidR="003C3D01" w:rsidRDefault="003C3D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GPC-10541</w:t>
            </w:r>
          </w:p>
        </w:tc>
        <w:tc>
          <w:tcPr>
            <w:tcW w:w="1596" w:type="dxa"/>
            <w:vAlign w:val="bottom"/>
          </w:tcPr>
          <w:p w:rsidR="003C3D01" w:rsidRDefault="003C3D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GPC-10732</w:t>
            </w:r>
          </w:p>
        </w:tc>
        <w:tc>
          <w:tcPr>
            <w:tcW w:w="1596" w:type="dxa"/>
            <w:vAlign w:val="bottom"/>
          </w:tcPr>
          <w:p w:rsidR="003C3D01" w:rsidRDefault="003C3D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GPC-10781</w:t>
            </w:r>
          </w:p>
        </w:tc>
        <w:tc>
          <w:tcPr>
            <w:tcW w:w="1596" w:type="dxa"/>
            <w:vAlign w:val="bottom"/>
          </w:tcPr>
          <w:p w:rsidR="003C3D01" w:rsidRDefault="003C3D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GPC-10940</w:t>
            </w:r>
          </w:p>
        </w:tc>
      </w:tr>
      <w:tr w:rsidR="003C3D01" w:rsidTr="00937954">
        <w:tc>
          <w:tcPr>
            <w:tcW w:w="1596" w:type="dxa"/>
            <w:vAlign w:val="bottom"/>
          </w:tcPr>
          <w:p w:rsidR="003C3D01" w:rsidRDefault="003C3D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GPC-10140</w:t>
            </w:r>
          </w:p>
        </w:tc>
        <w:tc>
          <w:tcPr>
            <w:tcW w:w="1596" w:type="dxa"/>
            <w:vAlign w:val="bottom"/>
          </w:tcPr>
          <w:p w:rsidR="003C3D01" w:rsidRDefault="003C3D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GPC-10280</w:t>
            </w:r>
          </w:p>
        </w:tc>
        <w:tc>
          <w:tcPr>
            <w:tcW w:w="1596" w:type="dxa"/>
            <w:vAlign w:val="bottom"/>
          </w:tcPr>
          <w:p w:rsidR="003C3D01" w:rsidRDefault="003C3D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GPC-10542</w:t>
            </w:r>
          </w:p>
        </w:tc>
        <w:tc>
          <w:tcPr>
            <w:tcW w:w="1596" w:type="dxa"/>
            <w:vAlign w:val="bottom"/>
          </w:tcPr>
          <w:p w:rsidR="003C3D01" w:rsidRDefault="003C3D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GPC-10735</w:t>
            </w:r>
          </w:p>
        </w:tc>
        <w:tc>
          <w:tcPr>
            <w:tcW w:w="1596" w:type="dxa"/>
            <w:vAlign w:val="bottom"/>
          </w:tcPr>
          <w:p w:rsidR="003C3D01" w:rsidRDefault="003C3D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GPC-10782</w:t>
            </w:r>
          </w:p>
        </w:tc>
        <w:tc>
          <w:tcPr>
            <w:tcW w:w="1596" w:type="dxa"/>
            <w:vAlign w:val="bottom"/>
          </w:tcPr>
          <w:p w:rsidR="003C3D01" w:rsidRDefault="003C3D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GPC-10960</w:t>
            </w:r>
          </w:p>
        </w:tc>
      </w:tr>
      <w:tr w:rsidR="003C3D01" w:rsidTr="00937954">
        <w:tc>
          <w:tcPr>
            <w:tcW w:w="1596" w:type="dxa"/>
            <w:vAlign w:val="bottom"/>
          </w:tcPr>
          <w:p w:rsidR="003C3D01" w:rsidRDefault="003C3D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GPC-10188</w:t>
            </w:r>
          </w:p>
        </w:tc>
        <w:tc>
          <w:tcPr>
            <w:tcW w:w="1596" w:type="dxa"/>
            <w:vAlign w:val="bottom"/>
          </w:tcPr>
          <w:p w:rsidR="003C3D01" w:rsidRDefault="003C3D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GPC-10342</w:t>
            </w:r>
          </w:p>
        </w:tc>
        <w:tc>
          <w:tcPr>
            <w:tcW w:w="1596" w:type="dxa"/>
            <w:vAlign w:val="bottom"/>
          </w:tcPr>
          <w:p w:rsidR="003C3D01" w:rsidRDefault="003C3D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GPC-10543</w:t>
            </w:r>
          </w:p>
        </w:tc>
        <w:tc>
          <w:tcPr>
            <w:tcW w:w="1596" w:type="dxa"/>
            <w:vAlign w:val="bottom"/>
          </w:tcPr>
          <w:p w:rsidR="003C3D01" w:rsidRDefault="003C3D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GPC-10738</w:t>
            </w:r>
          </w:p>
        </w:tc>
        <w:tc>
          <w:tcPr>
            <w:tcW w:w="1596" w:type="dxa"/>
            <w:vAlign w:val="bottom"/>
          </w:tcPr>
          <w:p w:rsidR="003C3D01" w:rsidRDefault="003C3D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GPC-10792</w:t>
            </w:r>
          </w:p>
        </w:tc>
        <w:tc>
          <w:tcPr>
            <w:tcW w:w="1596" w:type="dxa"/>
            <w:vAlign w:val="bottom"/>
          </w:tcPr>
          <w:p w:rsidR="003C3D01" w:rsidRDefault="003C3D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GPC-11015</w:t>
            </w:r>
          </w:p>
        </w:tc>
      </w:tr>
      <w:tr w:rsidR="003C3D01" w:rsidTr="00937954">
        <w:tc>
          <w:tcPr>
            <w:tcW w:w="1596" w:type="dxa"/>
            <w:vAlign w:val="bottom"/>
          </w:tcPr>
          <w:p w:rsidR="003C3D01" w:rsidRDefault="003C3D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GPC-10190</w:t>
            </w:r>
          </w:p>
        </w:tc>
        <w:tc>
          <w:tcPr>
            <w:tcW w:w="1596" w:type="dxa"/>
            <w:vAlign w:val="bottom"/>
          </w:tcPr>
          <w:p w:rsidR="003C3D01" w:rsidRDefault="003C3D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GPC-10451</w:t>
            </w:r>
          </w:p>
        </w:tc>
        <w:tc>
          <w:tcPr>
            <w:tcW w:w="1596" w:type="dxa"/>
            <w:vAlign w:val="bottom"/>
          </w:tcPr>
          <w:p w:rsidR="003C3D01" w:rsidRDefault="003C3D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GPC-10594</w:t>
            </w:r>
          </w:p>
        </w:tc>
        <w:tc>
          <w:tcPr>
            <w:tcW w:w="1596" w:type="dxa"/>
            <w:vAlign w:val="bottom"/>
          </w:tcPr>
          <w:p w:rsidR="003C3D01" w:rsidRDefault="003C3D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GPC-10778</w:t>
            </w:r>
          </w:p>
        </w:tc>
        <w:tc>
          <w:tcPr>
            <w:tcW w:w="1596" w:type="dxa"/>
            <w:vAlign w:val="bottom"/>
          </w:tcPr>
          <w:p w:rsidR="003C3D01" w:rsidRDefault="003C3D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GPC-10834</w:t>
            </w:r>
          </w:p>
        </w:tc>
        <w:tc>
          <w:tcPr>
            <w:tcW w:w="1596" w:type="dxa"/>
            <w:vAlign w:val="bottom"/>
          </w:tcPr>
          <w:p w:rsidR="003C3D01" w:rsidRDefault="003C3D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GPC-11016</w:t>
            </w:r>
          </w:p>
        </w:tc>
      </w:tr>
      <w:tr w:rsidR="003C3D01" w:rsidTr="00937954">
        <w:tc>
          <w:tcPr>
            <w:tcW w:w="1596" w:type="dxa"/>
            <w:vAlign w:val="bottom"/>
          </w:tcPr>
          <w:p w:rsidR="003C3D01" w:rsidRDefault="003C3D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GPC-10192</w:t>
            </w:r>
          </w:p>
        </w:tc>
        <w:tc>
          <w:tcPr>
            <w:tcW w:w="1596" w:type="dxa"/>
            <w:vAlign w:val="bottom"/>
          </w:tcPr>
          <w:p w:rsidR="003C3D01" w:rsidRDefault="003C3D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GPC-10534</w:t>
            </w:r>
          </w:p>
        </w:tc>
        <w:tc>
          <w:tcPr>
            <w:tcW w:w="1596" w:type="dxa"/>
            <w:vAlign w:val="bottom"/>
          </w:tcPr>
          <w:p w:rsidR="003C3D01" w:rsidRDefault="003C3D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GPC-10600</w:t>
            </w:r>
          </w:p>
        </w:tc>
        <w:tc>
          <w:tcPr>
            <w:tcW w:w="1596" w:type="dxa"/>
            <w:vAlign w:val="bottom"/>
          </w:tcPr>
          <w:p w:rsidR="003C3D01" w:rsidRDefault="003C3D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GPC-10779</w:t>
            </w:r>
          </w:p>
        </w:tc>
        <w:tc>
          <w:tcPr>
            <w:tcW w:w="1596" w:type="dxa"/>
            <w:vAlign w:val="bottom"/>
          </w:tcPr>
          <w:p w:rsidR="003C3D01" w:rsidRDefault="003C3D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GPC-10879</w:t>
            </w:r>
          </w:p>
        </w:tc>
        <w:tc>
          <w:tcPr>
            <w:tcW w:w="1596" w:type="dxa"/>
            <w:vAlign w:val="bottom"/>
          </w:tcPr>
          <w:p w:rsidR="003C3D01" w:rsidRDefault="003C3D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GPC-11038</w:t>
            </w:r>
          </w:p>
        </w:tc>
      </w:tr>
      <w:tr w:rsidR="003C3D01" w:rsidTr="00937954">
        <w:tc>
          <w:tcPr>
            <w:tcW w:w="1596" w:type="dxa"/>
            <w:vAlign w:val="bottom"/>
          </w:tcPr>
          <w:p w:rsidR="003C3D01" w:rsidRDefault="003C3D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GPC-10213</w:t>
            </w:r>
          </w:p>
        </w:tc>
        <w:tc>
          <w:tcPr>
            <w:tcW w:w="1596" w:type="dxa"/>
            <w:vAlign w:val="bottom"/>
          </w:tcPr>
          <w:p w:rsidR="003C3D01" w:rsidRPr="00937954" w:rsidRDefault="003C3D01" w:rsidP="00C15CF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6" w:type="dxa"/>
            <w:vAlign w:val="bottom"/>
          </w:tcPr>
          <w:p w:rsidR="003C3D01" w:rsidRPr="00937954" w:rsidRDefault="003C3D01" w:rsidP="00C15CF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6" w:type="dxa"/>
            <w:vAlign w:val="bottom"/>
          </w:tcPr>
          <w:p w:rsidR="003C3D01" w:rsidRPr="00937954" w:rsidRDefault="003C3D01" w:rsidP="00C15CF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6" w:type="dxa"/>
            <w:vAlign w:val="bottom"/>
          </w:tcPr>
          <w:p w:rsidR="003C3D01" w:rsidRPr="00937954" w:rsidRDefault="003C3D01" w:rsidP="00C15CF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6" w:type="dxa"/>
            <w:vAlign w:val="bottom"/>
          </w:tcPr>
          <w:p w:rsidR="003C3D01" w:rsidRPr="00937954" w:rsidRDefault="003C3D01" w:rsidP="00C15CF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37954" w:rsidRDefault="00937954"/>
    <w:p w:rsidR="00937954" w:rsidRDefault="00937954">
      <w:r>
        <w:t>Medium Scale Customer Sited Projects (Projects greater than 100kW and less than 1MW)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D3C3D" w:rsidTr="007E5E19">
        <w:tc>
          <w:tcPr>
            <w:tcW w:w="1596" w:type="dxa"/>
            <w:vAlign w:val="bottom"/>
          </w:tcPr>
          <w:p w:rsidR="007D3C3D" w:rsidRDefault="007D3C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GPC-10229</w:t>
            </w:r>
          </w:p>
        </w:tc>
        <w:tc>
          <w:tcPr>
            <w:tcW w:w="1596" w:type="dxa"/>
            <w:vAlign w:val="bottom"/>
          </w:tcPr>
          <w:p w:rsidR="007D3C3D" w:rsidRDefault="007D3C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GPC-10305</w:t>
            </w:r>
          </w:p>
        </w:tc>
        <w:tc>
          <w:tcPr>
            <w:tcW w:w="1596" w:type="dxa"/>
            <w:vAlign w:val="bottom"/>
          </w:tcPr>
          <w:p w:rsidR="007D3C3D" w:rsidRDefault="007D3C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GPC-10377</w:t>
            </w:r>
          </w:p>
        </w:tc>
        <w:tc>
          <w:tcPr>
            <w:tcW w:w="1596" w:type="dxa"/>
            <w:vAlign w:val="bottom"/>
          </w:tcPr>
          <w:p w:rsidR="007D3C3D" w:rsidRDefault="007D3C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GPC-10551</w:t>
            </w:r>
          </w:p>
        </w:tc>
        <w:tc>
          <w:tcPr>
            <w:tcW w:w="1596" w:type="dxa"/>
            <w:vAlign w:val="bottom"/>
          </w:tcPr>
          <w:p w:rsidR="007D3C3D" w:rsidRDefault="007D3C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GPC-10640</w:t>
            </w:r>
          </w:p>
        </w:tc>
        <w:tc>
          <w:tcPr>
            <w:tcW w:w="1596" w:type="dxa"/>
            <w:vAlign w:val="bottom"/>
          </w:tcPr>
          <w:p w:rsidR="007D3C3D" w:rsidRDefault="007D3C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GPC-10809</w:t>
            </w:r>
          </w:p>
        </w:tc>
      </w:tr>
      <w:tr w:rsidR="007D3C3D" w:rsidTr="007E5E19">
        <w:tc>
          <w:tcPr>
            <w:tcW w:w="1596" w:type="dxa"/>
            <w:vAlign w:val="bottom"/>
          </w:tcPr>
          <w:p w:rsidR="007D3C3D" w:rsidRDefault="007D3C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GPC-10274</w:t>
            </w:r>
          </w:p>
        </w:tc>
        <w:tc>
          <w:tcPr>
            <w:tcW w:w="1596" w:type="dxa"/>
            <w:vAlign w:val="bottom"/>
          </w:tcPr>
          <w:p w:rsidR="007D3C3D" w:rsidRDefault="007D3C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GPC-10357</w:t>
            </w:r>
          </w:p>
        </w:tc>
        <w:tc>
          <w:tcPr>
            <w:tcW w:w="1596" w:type="dxa"/>
            <w:vAlign w:val="bottom"/>
          </w:tcPr>
          <w:p w:rsidR="007D3C3D" w:rsidRDefault="007D3C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GPC-10538</w:t>
            </w:r>
          </w:p>
        </w:tc>
        <w:tc>
          <w:tcPr>
            <w:tcW w:w="1596" w:type="dxa"/>
            <w:vAlign w:val="bottom"/>
          </w:tcPr>
          <w:p w:rsidR="007D3C3D" w:rsidRDefault="007D3C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GPC-10592</w:t>
            </w:r>
          </w:p>
        </w:tc>
        <w:tc>
          <w:tcPr>
            <w:tcW w:w="1596" w:type="dxa"/>
            <w:vAlign w:val="bottom"/>
          </w:tcPr>
          <w:p w:rsidR="007D3C3D" w:rsidRDefault="007D3C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GPC-10736</w:t>
            </w:r>
          </w:p>
        </w:tc>
        <w:tc>
          <w:tcPr>
            <w:tcW w:w="1596" w:type="dxa"/>
            <w:vAlign w:val="bottom"/>
          </w:tcPr>
          <w:p w:rsidR="007D3C3D" w:rsidRDefault="007D3C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GPC-10956</w:t>
            </w:r>
          </w:p>
        </w:tc>
      </w:tr>
    </w:tbl>
    <w:p w:rsidR="00937954" w:rsidRDefault="00937954"/>
    <w:p w:rsidR="003C3D01" w:rsidRDefault="003C3D01" w:rsidP="003C3D01">
      <w:r>
        <w:t xml:space="preserve">The 2014 General Lottery </w:t>
      </w:r>
      <w:r>
        <w:t xml:space="preserve">Results </w:t>
      </w:r>
      <w:r>
        <w:t>to</w:t>
      </w:r>
      <w:r>
        <w:t xml:space="preserve"> fill 45MW of solar resource capacity will be posted on Monday, May 5, 2014.</w:t>
      </w:r>
    </w:p>
    <w:p w:rsidR="003C3D01" w:rsidRDefault="003C3D01"/>
    <w:sectPr w:rsidR="003C3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54"/>
    <w:rsid w:val="000F1057"/>
    <w:rsid w:val="001C663A"/>
    <w:rsid w:val="003C3D01"/>
    <w:rsid w:val="0053487F"/>
    <w:rsid w:val="00630DF8"/>
    <w:rsid w:val="007D3C3D"/>
    <w:rsid w:val="00937954"/>
    <w:rsid w:val="00A037F2"/>
    <w:rsid w:val="00B83FCA"/>
    <w:rsid w:val="00ED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Dobbins, George W., III</dc:creator>
  <cp:lastModifiedBy>Dobbins, George W., III</cp:lastModifiedBy>
  <cp:revision>2</cp:revision>
  <cp:lastPrinted>2014-05-01T16:45:00Z</cp:lastPrinted>
  <dcterms:created xsi:type="dcterms:W3CDTF">2014-05-01T15:16:00Z</dcterms:created>
  <dcterms:modified xsi:type="dcterms:W3CDTF">2014-05-01T16:40:00Z</dcterms:modified>
</cp:coreProperties>
</file>